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0" w:lineRule="auto"/>
        <w:jc w:val="center"/>
        <w:rPr>
          <w:rFonts w:ascii="DM Sans" w:cs="DM Sans" w:eastAsia="DM Sans" w:hAnsi="DM Sans"/>
          <w:b w:val="1"/>
          <w:color w:val="2287ba"/>
          <w:sz w:val="28"/>
          <w:szCs w:val="28"/>
        </w:rPr>
      </w:pPr>
      <w:bookmarkStart w:colFirst="0" w:colLast="0" w:name="_ake9t9luxg36" w:id="0"/>
      <w:bookmarkEnd w:id="0"/>
      <w:r w:rsidDel="00000000" w:rsidR="00000000" w:rsidRPr="00000000">
        <w:rPr>
          <w:rFonts w:ascii="DM Sans" w:cs="DM Sans" w:eastAsia="DM Sans" w:hAnsi="DM Sans"/>
          <w:b w:val="1"/>
          <w:color w:val="2287ba"/>
          <w:sz w:val="28"/>
          <w:szCs w:val="28"/>
          <w:rtl w:val="0"/>
        </w:rPr>
        <w:t xml:space="preserve">Welcome</w:t>
      </w:r>
      <w:r w:rsidDel="00000000" w:rsidR="00000000" w:rsidRPr="00000000">
        <w:rPr>
          <w:rFonts w:ascii="DM Sans" w:cs="DM Sans" w:eastAsia="DM Sans" w:hAnsi="DM Sans"/>
          <w:b w:val="1"/>
          <w:color w:val="2287ba"/>
          <w:sz w:val="28"/>
          <w:szCs w:val="28"/>
          <w:rtl w:val="0"/>
        </w:rPr>
        <w:t xml:space="preserve"> to Engageli!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Source Sans Pro" w:cs="Source Sans Pro" w:eastAsia="Source Sans Pro" w:hAnsi="Source Sans Pro"/>
          <w:i w:val="1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Use this checklist to prepare for your first teaching experience on Engageli. We hope these tools provide all the resources you need to teach active and engaging classes on Engageli.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rFonts w:ascii="Source Sans Pro" w:cs="Source Sans Pro" w:eastAsia="Source Sans Pro" w:hAnsi="Source Sans Pro"/>
        </w:rPr>
      </w:pPr>
      <w:bookmarkStart w:colFirst="0" w:colLast="0" w:name="_uoy3jhomv5u4" w:id="1"/>
      <w:bookmarkEnd w:id="1"/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sz w:val="24"/>
          <w:szCs w:val="24"/>
          <w:rtl w:val="0"/>
        </w:rPr>
        <w:t xml:space="preserve">(1) 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sz w:val="24"/>
          <w:szCs w:val="24"/>
          <w:rtl w:val="0"/>
        </w:rPr>
        <w:t xml:space="preserve">Getting Started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</w:rPr>
      </w:pPr>
      <w:hyperlink r:id="rId6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Check the technical requirements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to ensure you can successfully use the Engageli application on your device.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Confirm that you can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log in and launch your classroom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Open a classroom and review the platform’s basic functionality and settings.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Review the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classroom layout and interface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Learn the different </w:t>
      </w:r>
      <w:hyperlink r:id="rId8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audio settings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and </w:t>
      </w:r>
      <w:hyperlink r:id="rId9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class view options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>
          <w:rFonts w:ascii="Source Sans Pro" w:cs="Source Sans Pro" w:eastAsia="Source Sans Pro" w:hAnsi="Source Sans Pro"/>
          <w:b w:val="1"/>
          <w:sz w:val="24"/>
          <w:szCs w:val="24"/>
        </w:rPr>
      </w:pPr>
      <w:bookmarkStart w:colFirst="0" w:colLast="0" w:name="_7kj07ix61pdh" w:id="2"/>
      <w:bookmarkEnd w:id="2"/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sz w:val="24"/>
          <w:szCs w:val="24"/>
          <w:rtl w:val="0"/>
        </w:rPr>
        <w:t xml:space="preserve">(2) 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sz w:val="24"/>
          <w:szCs w:val="24"/>
          <w:rtl w:val="0"/>
        </w:rPr>
        <w:t xml:space="preserve">Fostering Learner Engagement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Conducting Learning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Use </w:t>
      </w:r>
      <w:hyperlink r:id="rId10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engagement strategies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in your classroom.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Edit and use this </w:t>
      </w:r>
      <w:hyperlink r:id="rId11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First Day of Class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deck to start your class.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Use </w:t>
      </w:r>
      <w:hyperlink r:id="rId12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Engageli tables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to increase learner collaboration and engagement.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rFonts w:ascii="Source Sans Pro" w:cs="Source Sans Pro" w:eastAsia="Source Sans Pro" w:hAnsi="Source Sans Pro"/>
          <w:color w:val="000000"/>
          <w:sz w:val="24"/>
          <w:szCs w:val="24"/>
        </w:rPr>
      </w:pPr>
      <w:bookmarkStart w:colFirst="0" w:colLast="0" w:name="_bvc11b9w8rpc" w:id="3"/>
      <w:bookmarkEnd w:id="3"/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sz w:val="24"/>
          <w:szCs w:val="24"/>
          <w:rtl w:val="0"/>
        </w:rPr>
        <w:t xml:space="preserve">(3) 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sz w:val="24"/>
          <w:szCs w:val="24"/>
          <w:rtl w:val="0"/>
        </w:rPr>
        <w:t xml:space="preserve">Preparing for Your First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Source Sans Pro" w:cs="Source Sans Pro" w:eastAsia="Source Sans Pro" w:hAnsi="Source Sans Pro"/>
        </w:rPr>
      </w:pPr>
      <w:hyperlink r:id="rId13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Prepare your learners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for their first class on Engageli.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Bookmark the URL for Engageli’s </w:t>
      </w:r>
      <w:hyperlink r:id="rId14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Help Center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and save the support phone number (1-888-979-9597).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Do Final Checks: 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Ensure you can sign in and your video and microphone are working properly.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Have your classroom URL ready and available.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Send Guest Links to any non-fully enrolled learners or guest speakers.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rPr>
          <w:rFonts w:ascii="Source Sans Pro" w:cs="Source Sans Pro" w:eastAsia="Source Sans Pro" w:hAnsi="Source Sans Pro"/>
          <w:sz w:val="24"/>
          <w:szCs w:val="24"/>
        </w:rPr>
      </w:pPr>
      <w:bookmarkStart w:colFirst="0" w:colLast="0" w:name="_ennhm4d2yl7e" w:id="4"/>
      <w:bookmarkEnd w:id="4"/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sz w:val="24"/>
          <w:szCs w:val="24"/>
          <w:rtl w:val="0"/>
        </w:rPr>
        <w:t xml:space="preserve">(4) 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000000"/>
          <w:sz w:val="24"/>
          <w:szCs w:val="24"/>
          <w:rtl w:val="0"/>
        </w:rPr>
        <w:t xml:space="preserve">After Class on Engageli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Learn about using </w:t>
      </w:r>
      <w:hyperlink r:id="rId15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Playback Rooms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Review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articles on how to use the </w:t>
      </w:r>
      <w:hyperlink r:id="rId16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Engageli Admin Portal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Learn about </w:t>
      </w:r>
      <w:hyperlink r:id="rId17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Engageli's classroom data</w:t>
        </w:r>
      </w:hyperlink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and how to use it.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Log in to the Engageli Portal to view class attendance for your live session as well as the asynchronous recording. </w:t>
      </w: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B">
          <w:pPr>
            <w:rPr/>
          </w:pPr>
          <w:r w:rsidDel="00000000" w:rsidR="00000000" w:rsidRPr="00000000">
            <w:rPr>
              <w:rFonts w:ascii="Source Sans Pro" w:cs="Source Sans Pro" w:eastAsia="Source Sans Pro" w:hAnsi="Source Sans Pro"/>
              <w:color w:val="999999"/>
              <w:sz w:val="16"/>
              <w:szCs w:val="16"/>
              <w:highlight w:val="white"/>
              <w:rtl w:val="0"/>
            </w:rPr>
            <w:t xml:space="preserve">Copyright © 2022 Engageli, Inc. All rights reserved.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C">
          <w:pPr>
            <w:widowControl w:val="0"/>
            <w:spacing w:line="240" w:lineRule="auto"/>
            <w:jc w:val="right"/>
            <w:rPr>
              <w:rFonts w:ascii="Source Sans Pro" w:cs="Source Sans Pro" w:eastAsia="Source Sans Pro" w:hAnsi="Source Sans Pro"/>
              <w:sz w:val="20"/>
              <w:szCs w:val="20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spacing w:line="276" w:lineRule="auto"/>
      <w:rPr>
        <w:rFonts w:ascii="DM Sans" w:cs="DM Sans" w:eastAsia="DM Sans" w:hAnsi="DM Sans"/>
        <w:color w:val="999999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7200" w:firstLine="720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5953125</wp:posOffset>
          </wp:positionH>
          <wp:positionV relativeFrom="page">
            <wp:posOffset>314325</wp:posOffset>
          </wp:positionV>
          <wp:extent cx="1409700" cy="50236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50236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ngageli.com/hubfs/First%20Day%20of%20Class%20Deck.pptx" TargetMode="External"/><Relationship Id="rId10" Type="http://schemas.openxmlformats.org/officeDocument/2006/relationships/hyperlink" Target="https://www.engageli.com/hubfs/Engageli%20Engagement%20Strategies.docx" TargetMode="External"/><Relationship Id="rId13" Type="http://schemas.openxmlformats.org/officeDocument/2006/relationships/hyperlink" Target="https://www.engageli.com/hubfs/Engageli%20Learner%20Introduction%20Communication.docx" TargetMode="External"/><Relationship Id="rId12" Type="http://schemas.openxmlformats.org/officeDocument/2006/relationships/hyperlink" Target="https://support.engageli.com/hc/en-us/articles/4411892514843-Using-Tables-for-Active-Learn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pport.engageli.com/hc/en-us/articles/4411801033883-Instructor-Class-Views" TargetMode="External"/><Relationship Id="rId15" Type="http://schemas.openxmlformats.org/officeDocument/2006/relationships/hyperlink" Target="https://support.engageli.com/hc/en-us/articles/10475433434779-How-to-Use-Playback-Rooms-3-0-" TargetMode="External"/><Relationship Id="rId14" Type="http://schemas.openxmlformats.org/officeDocument/2006/relationships/hyperlink" Target="http://support.engageli.com" TargetMode="External"/><Relationship Id="rId17" Type="http://schemas.openxmlformats.org/officeDocument/2006/relationships/hyperlink" Target="https://support.engageli.com/hc/en-us/sections/8668294583067-Class-Management-Analytics" TargetMode="External"/><Relationship Id="rId16" Type="http://schemas.openxmlformats.org/officeDocument/2006/relationships/hyperlink" Target="https://support.engageli.com/hc/en-us/categories/7187098946971-Admin-Portal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s://support.engageli.com/hc/en-us/articles/4411731009563-Check-Your-Technical-Requirements" TargetMode="External"/><Relationship Id="rId18" Type="http://schemas.openxmlformats.org/officeDocument/2006/relationships/header" Target="header1.xml"/><Relationship Id="rId7" Type="http://schemas.openxmlformats.org/officeDocument/2006/relationships/hyperlink" Target="https://support.engageli.com/hc/en-us/articles/10635697055515-How-to-Create-and-Launch-Your-Classroom-3-0-" TargetMode="External"/><Relationship Id="rId8" Type="http://schemas.openxmlformats.org/officeDocument/2006/relationships/hyperlink" Target="https://support.engageli.com/hc/en-us/articles/4416183888155-Instructor-Audio-Settings-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