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rPr>
          <w:rFonts w:ascii="DM Sans" w:cs="DM Sans" w:eastAsia="DM Sans" w:hAnsi="DM Sans"/>
          <w:color w:val="2287ba"/>
        </w:rPr>
      </w:pPr>
      <w:r w:rsidDel="00000000" w:rsidR="00000000" w:rsidRPr="00000000">
        <w:rPr>
          <w:rFonts w:ascii="DM Sans" w:cs="DM Sans" w:eastAsia="DM Sans" w:hAnsi="DM Sans"/>
          <w:b w:val="1"/>
          <w:color w:val="2287ba"/>
          <w:sz w:val="26"/>
          <w:szCs w:val="26"/>
          <w:rtl w:val="0"/>
        </w:rPr>
        <w:t xml:space="preserve">Preparing your Learners for Engageli</w:t>
      </w:r>
      <w:r w:rsidDel="00000000" w:rsidR="00000000" w:rsidRPr="00000000">
        <w:rPr>
          <w:rtl w:val="0"/>
        </w:rPr>
      </w:r>
    </w:p>
    <w:p w:rsidR="00000000" w:rsidDel="00000000" w:rsidP="00000000" w:rsidRDefault="00000000" w:rsidRPr="00000000" w14:paraId="00000002">
      <w:pPr>
        <w:spacing w:after="120" w:line="240" w:lineRule="auto"/>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rtl w:val="0"/>
        </w:rPr>
        <w:t xml:space="preserve">The following content is a sample communication to send to learners or post directly into the LMS prior to the first session in Engageli. This will help them leverage the platform’s engagement capabilities and contribute to the classroom community.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spacing w:line="276" w:lineRule="auto"/>
        <w:ind w:left="72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Introducing Engageli </w:t>
      </w:r>
      <w:r w:rsidDel="00000000" w:rsidR="00000000" w:rsidRPr="00000000">
        <w:rPr>
          <w:rtl w:val="0"/>
        </w:rPr>
      </w:r>
    </w:p>
    <w:p w:rsidR="00000000" w:rsidDel="00000000" w:rsidP="00000000" w:rsidRDefault="00000000" w:rsidRPr="00000000" w14:paraId="00000005">
      <w:pPr>
        <w:shd w:fill="ffffff" w:val="clear"/>
        <w:ind w:left="720" w:firstLine="0"/>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color w:val="222222"/>
          <w:rtl w:val="0"/>
        </w:rPr>
        <w:t xml:space="preserve">Exciting news! This semester we will be using a new learning technology called Engageli. Engageli was purpose-built to </w:t>
      </w:r>
      <w:r w:rsidDel="00000000" w:rsidR="00000000" w:rsidRPr="00000000">
        <w:rPr>
          <w:rFonts w:ascii="Source Sans Pro" w:cs="Source Sans Pro" w:eastAsia="Source Sans Pro" w:hAnsi="Source Sans Pro"/>
          <w:color w:val="222222"/>
          <w:highlight w:val="white"/>
          <w:rtl w:val="0"/>
        </w:rPr>
        <w:t xml:space="preserve">foster active, collaborative learning, and deepen peer-to-peer connections. </w:t>
      </w:r>
      <w:r w:rsidDel="00000000" w:rsidR="00000000" w:rsidRPr="00000000">
        <w:rPr>
          <w:rtl w:val="0"/>
        </w:rPr>
      </w:r>
    </w:p>
    <w:p w:rsidR="00000000" w:rsidDel="00000000" w:rsidP="00000000" w:rsidRDefault="00000000" w:rsidRPr="00000000" w14:paraId="00000006">
      <w:pPr>
        <w:shd w:fill="ffffff" w:val="clear"/>
        <w:ind w:left="720" w:firstLine="0"/>
        <w:rPr>
          <w:rFonts w:ascii="Source Sans Pro" w:cs="Source Sans Pro" w:eastAsia="Source Sans Pro" w:hAnsi="Source Sans Pro"/>
          <w:color w:val="222222"/>
        </w:rPr>
      </w:pPr>
      <w:r w:rsidDel="00000000" w:rsidR="00000000" w:rsidRPr="00000000">
        <w:rPr>
          <w:rtl w:val="0"/>
        </w:rPr>
      </w:r>
    </w:p>
    <w:p w:rsidR="00000000" w:rsidDel="00000000" w:rsidP="00000000" w:rsidRDefault="00000000" w:rsidRPr="00000000" w14:paraId="00000007">
      <w:pPr>
        <w:shd w:fill="ffffff" w:val="clear"/>
        <w:ind w:left="720" w:firstLine="0"/>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color w:val="222222"/>
          <w:rtl w:val="0"/>
        </w:rPr>
        <w:t xml:space="preserve">Some of the classroom features include:</w:t>
      </w:r>
    </w:p>
    <w:p w:rsidR="00000000" w:rsidDel="00000000" w:rsidP="00000000" w:rsidRDefault="00000000" w:rsidRPr="00000000" w14:paraId="00000008">
      <w:pPr>
        <w:numPr>
          <w:ilvl w:val="0"/>
          <w:numId w:val="2"/>
        </w:numPr>
        <w:spacing w:line="240" w:lineRule="auto"/>
        <w:ind w:left="16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color w:val="222222"/>
          <w:rtl w:val="0"/>
        </w:rPr>
        <w:t xml:space="preserve">Virtual tables: You will be “seated” at a table with a small group of classmates.</w:t>
      </w:r>
      <w:r w:rsidDel="00000000" w:rsidR="00000000" w:rsidRPr="00000000">
        <w:rPr>
          <w:rtl w:val="0"/>
        </w:rPr>
      </w:r>
    </w:p>
    <w:p w:rsidR="00000000" w:rsidDel="00000000" w:rsidP="00000000" w:rsidRDefault="00000000" w:rsidRPr="00000000" w14:paraId="00000009">
      <w:pPr>
        <w:numPr>
          <w:ilvl w:val="0"/>
          <w:numId w:val="2"/>
        </w:numPr>
        <w:spacing w:line="240" w:lineRule="auto"/>
        <w:ind w:left="16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color w:val="222222"/>
          <w:rtl w:val="0"/>
        </w:rPr>
        <w:t xml:space="preserve">Chat: Send messages to the full class, as well as individual classmates. </w:t>
      </w:r>
      <w:r w:rsidDel="00000000" w:rsidR="00000000" w:rsidRPr="00000000">
        <w:rPr>
          <w:rtl w:val="0"/>
        </w:rPr>
      </w:r>
    </w:p>
    <w:p w:rsidR="00000000" w:rsidDel="00000000" w:rsidP="00000000" w:rsidRDefault="00000000" w:rsidRPr="00000000" w14:paraId="0000000A">
      <w:pPr>
        <w:numPr>
          <w:ilvl w:val="0"/>
          <w:numId w:val="2"/>
        </w:numPr>
        <w:spacing w:line="240" w:lineRule="auto"/>
        <w:ind w:left="16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color w:val="222222"/>
          <w:rtl w:val="0"/>
        </w:rPr>
        <w:t xml:space="preserve">Q&amp;A: Ask questions through the threaded Q&amp;A feature.</w:t>
      </w:r>
      <w:r w:rsidDel="00000000" w:rsidR="00000000" w:rsidRPr="00000000">
        <w:rPr>
          <w:rtl w:val="0"/>
        </w:rPr>
      </w:r>
    </w:p>
    <w:p w:rsidR="00000000" w:rsidDel="00000000" w:rsidP="00000000" w:rsidRDefault="00000000" w:rsidRPr="00000000" w14:paraId="0000000B">
      <w:pPr>
        <w:numPr>
          <w:ilvl w:val="0"/>
          <w:numId w:val="2"/>
        </w:numPr>
        <w:spacing w:line="240" w:lineRule="auto"/>
        <w:ind w:left="16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color w:val="222222"/>
          <w:rtl w:val="0"/>
        </w:rPr>
        <w:t xml:space="preserve">Raise hand: Virtually raise your hand during class discussions to address the class.</w:t>
      </w:r>
      <w:r w:rsidDel="00000000" w:rsidR="00000000" w:rsidRPr="00000000">
        <w:rPr>
          <w:rtl w:val="0"/>
        </w:rPr>
      </w:r>
    </w:p>
    <w:p w:rsidR="00000000" w:rsidDel="00000000" w:rsidP="00000000" w:rsidRDefault="00000000" w:rsidRPr="00000000" w14:paraId="0000000C">
      <w:pPr>
        <w:numPr>
          <w:ilvl w:val="0"/>
          <w:numId w:val="2"/>
        </w:numPr>
        <w:spacing w:after="200" w:line="240" w:lineRule="auto"/>
        <w:ind w:left="16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color w:val="222222"/>
          <w:rtl w:val="0"/>
        </w:rPr>
        <w:t xml:space="preserve">Notes: Take notes, including screenshots and annotations, which you can download at the end of class.</w:t>
      </w:r>
      <w:r w:rsidDel="00000000" w:rsidR="00000000" w:rsidRPr="00000000">
        <w:rPr>
          <w:rtl w:val="0"/>
        </w:rPr>
      </w:r>
    </w:p>
    <w:p w:rsidR="00000000" w:rsidDel="00000000" w:rsidP="00000000" w:rsidRDefault="00000000" w:rsidRPr="00000000" w14:paraId="0000000D">
      <w:pPr>
        <w:widowControl w:val="0"/>
        <w:spacing w:line="240" w:lineRule="auto"/>
        <w:ind w:left="720" w:firstLine="0"/>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rtl w:val="0"/>
        </w:rPr>
        <w:t xml:space="preserve">Here are some resources to help you learn more about Engageli and set up your device:</w:t>
      </w:r>
      <w:r w:rsidDel="00000000" w:rsidR="00000000" w:rsidRPr="00000000">
        <w:rPr>
          <w:rtl w:val="0"/>
        </w:rPr>
      </w:r>
    </w:p>
    <w:p w:rsidR="00000000" w:rsidDel="00000000" w:rsidP="00000000" w:rsidRDefault="00000000" w:rsidRPr="00000000" w14:paraId="0000000E">
      <w:pPr>
        <w:widowControl w:val="0"/>
        <w:numPr>
          <w:ilvl w:val="0"/>
          <w:numId w:val="1"/>
        </w:numPr>
        <w:spacing w:line="240" w:lineRule="auto"/>
        <w:ind w:left="1710" w:hanging="360"/>
        <w:rPr>
          <w:rFonts w:ascii="Source Sans Pro" w:cs="Source Sans Pro" w:eastAsia="Source Sans Pro" w:hAnsi="Source Sans Pro"/>
          <w:u w:val="none"/>
        </w:rPr>
      </w:pPr>
      <w:hyperlink r:id="rId7">
        <w:r w:rsidDel="00000000" w:rsidR="00000000" w:rsidRPr="00000000">
          <w:rPr>
            <w:rFonts w:ascii="Source Sans Pro" w:cs="Source Sans Pro" w:eastAsia="Source Sans Pro" w:hAnsi="Source Sans Pro"/>
            <w:color w:val="1155cc"/>
            <w:u w:val="single"/>
            <w:rtl w:val="0"/>
          </w:rPr>
          <w:t xml:space="preserve">Quick start video</w:t>
        </w:r>
      </w:hyperlink>
      <w:r w:rsidDel="00000000" w:rsidR="00000000" w:rsidRPr="00000000">
        <w:rPr>
          <w:rFonts w:ascii="Source Sans Pro" w:cs="Source Sans Pro" w:eastAsia="Source Sans Pro" w:hAnsi="Source Sans Pro"/>
          <w:color w:val="222222"/>
          <w:rtl w:val="0"/>
        </w:rPr>
        <w:t xml:space="preserve"> </w:t>
      </w: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1710" w:hanging="360"/>
        <w:rPr>
          <w:rFonts w:ascii="Source Sans Pro" w:cs="Source Sans Pro" w:eastAsia="Source Sans Pro" w:hAnsi="Source Sans Pro"/>
          <w:u w:val="none"/>
        </w:rPr>
      </w:pPr>
      <w:hyperlink r:id="rId8">
        <w:r w:rsidDel="00000000" w:rsidR="00000000" w:rsidRPr="00000000">
          <w:rPr>
            <w:rFonts w:ascii="Source Sans Pro" w:cs="Source Sans Pro" w:eastAsia="Source Sans Pro" w:hAnsi="Source Sans Pro"/>
            <w:color w:val="1155cc"/>
            <w:u w:val="single"/>
            <w:rtl w:val="0"/>
          </w:rPr>
          <w:t xml:space="preserve">Logging in to class</w:t>
        </w:r>
      </w:hyperlink>
      <w:r w:rsidDel="00000000" w:rsidR="00000000" w:rsidRPr="00000000">
        <w:rPr>
          <w:rtl w:val="0"/>
        </w:rPr>
      </w:r>
    </w:p>
    <w:p w:rsidR="00000000" w:rsidDel="00000000" w:rsidP="00000000" w:rsidRDefault="00000000" w:rsidRPr="00000000" w14:paraId="00000010">
      <w:pPr>
        <w:widowControl w:val="0"/>
        <w:numPr>
          <w:ilvl w:val="0"/>
          <w:numId w:val="1"/>
        </w:numPr>
        <w:spacing w:line="240" w:lineRule="auto"/>
        <w:ind w:left="1710" w:hanging="360"/>
        <w:rPr>
          <w:rFonts w:ascii="Source Sans Pro" w:cs="Source Sans Pro" w:eastAsia="Source Sans Pro" w:hAnsi="Source Sans Pro"/>
          <w:u w:val="none"/>
        </w:rPr>
      </w:pPr>
      <w:hyperlink r:id="rId9">
        <w:r w:rsidDel="00000000" w:rsidR="00000000" w:rsidRPr="00000000">
          <w:rPr>
            <w:rFonts w:ascii="Source Sans Pro" w:cs="Source Sans Pro" w:eastAsia="Source Sans Pro" w:hAnsi="Source Sans Pro"/>
            <w:color w:val="1155cc"/>
            <w:u w:val="single"/>
            <w:rtl w:val="0"/>
          </w:rPr>
          <w:t xml:space="preserve">Classroom overview</w:t>
        </w:r>
      </w:hyperlink>
      <w:r w:rsidDel="00000000" w:rsidR="00000000" w:rsidRPr="00000000">
        <w:rPr>
          <w:rtl w:val="0"/>
        </w:rPr>
      </w:r>
    </w:p>
    <w:p w:rsidR="00000000" w:rsidDel="00000000" w:rsidP="00000000" w:rsidRDefault="00000000" w:rsidRPr="00000000" w14:paraId="00000011">
      <w:pPr>
        <w:spacing w:after="200" w:before="200" w:lineRule="auto"/>
        <w:ind w:left="720" w:firstLine="0"/>
        <w:rPr>
          <w:rFonts w:ascii="Source Sans Pro" w:cs="Source Sans Pro" w:eastAsia="Source Sans Pro" w:hAnsi="Source Sans Pro"/>
          <w:color w:val="222222"/>
          <w:shd w:fill="fff2cc" w:val="clear"/>
        </w:rPr>
      </w:pPr>
      <w:r w:rsidDel="00000000" w:rsidR="00000000" w:rsidRPr="00000000">
        <w:rPr>
          <w:rFonts w:ascii="Source Sans Pro" w:cs="Source Sans Pro" w:eastAsia="Source Sans Pro" w:hAnsi="Source Sans Pro"/>
          <w:color w:val="222222"/>
          <w:highlight w:val="white"/>
          <w:rtl w:val="0"/>
        </w:rPr>
        <w:t xml:space="preserve">Engageli has been integrated with our Learning Management System, so you should plan to join all classes directly through the course modules.</w:t>
      </w:r>
      <w:r w:rsidDel="00000000" w:rsidR="00000000" w:rsidRPr="00000000">
        <w:rPr>
          <w:rtl w:val="0"/>
        </w:rPr>
      </w:r>
    </w:p>
    <w:p w:rsidR="00000000" w:rsidDel="00000000" w:rsidP="00000000" w:rsidRDefault="00000000" w:rsidRPr="00000000" w14:paraId="00000012">
      <w:pPr>
        <w:ind w:left="720"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you have any login or connection issues, please contact Engageli's Live Support by phone at 1-888-979-9597 or by </w:t>
      </w:r>
      <w:hyperlink r:id="rId10">
        <w:r w:rsidDel="00000000" w:rsidR="00000000" w:rsidRPr="00000000">
          <w:rPr>
            <w:rFonts w:ascii="Source Sans Pro" w:cs="Source Sans Pro" w:eastAsia="Source Sans Pro" w:hAnsi="Source Sans Pro"/>
            <w:color w:val="1155cc"/>
            <w:u w:val="single"/>
            <w:rtl w:val="0"/>
          </w:rPr>
          <w:t xml:space="preserve">email or chat</w:t>
        </w:r>
      </w:hyperlink>
      <w:r w:rsidDel="00000000" w:rsidR="00000000" w:rsidRPr="00000000">
        <w:rPr>
          <w:rFonts w:ascii="Source Sans Pro" w:cs="Source Sans Pro" w:eastAsia="Source Sans Pro" w:hAnsi="Source Sans Pro"/>
          <w:rtl w:val="0"/>
        </w:rPr>
        <w:t xml:space="preserve">. You can also select </w:t>
      </w:r>
      <w:r w:rsidDel="00000000" w:rsidR="00000000" w:rsidRPr="00000000">
        <w:rPr>
          <w:rFonts w:ascii="Source Sans Pro" w:cs="Source Sans Pro" w:eastAsia="Source Sans Pro" w:hAnsi="Source Sans Pro"/>
          <w:b w:val="1"/>
          <w:rtl w:val="0"/>
        </w:rPr>
        <w:t xml:space="preserve">Contact support for help</w:t>
      </w:r>
      <w:r w:rsidDel="00000000" w:rsidR="00000000" w:rsidRPr="00000000">
        <w:rPr>
          <w:rFonts w:ascii="Source Sans Pro" w:cs="Source Sans Pro" w:eastAsia="Source Sans Pro" w:hAnsi="Source Sans Pro"/>
          <w:rtl w:val="0"/>
        </w:rPr>
        <w:t xml:space="preserve"> within the Engageli classroom to be directed to the Engageli Help Center.</w:t>
      </w:r>
    </w:p>
    <w:p w:rsidR="00000000" w:rsidDel="00000000" w:rsidP="00000000" w:rsidRDefault="00000000" w:rsidRPr="00000000" w14:paraId="00000013">
      <w:pPr>
        <w:ind w:left="720"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4">
      <w:pPr>
        <w:jc w:val="center"/>
        <w:rPr>
          <w:rFonts w:ascii="Source Sans Pro" w:cs="Source Sans Pro" w:eastAsia="Source Sans Pro" w:hAnsi="Source Sans Pro"/>
          <w:color w:val="222222"/>
        </w:rPr>
      </w:pPr>
      <w:r w:rsidDel="00000000" w:rsidR="00000000" w:rsidRPr="00000000">
        <w:rPr>
          <w:rFonts w:ascii="DM Sans" w:cs="DM Sans" w:eastAsia="DM Sans" w:hAnsi="DM Sans"/>
        </w:rPr>
        <w:drawing>
          <wp:inline distB="114300" distT="114300" distL="114300" distR="114300">
            <wp:extent cx="4033838" cy="1381451"/>
            <wp:effectExtent b="0" l="0" r="0" t="0"/>
            <wp:docPr id="1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33838" cy="1381451"/>
                    </a:xfrm>
                    <a:prstGeom prst="rect"/>
                    <a:ln/>
                  </pic:spPr>
                </pic:pic>
              </a:graphicData>
            </a:graphic>
          </wp:inline>
        </w:drawing>
      </w: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pPr>
          <w:r w:rsidDel="00000000" w:rsidR="00000000" w:rsidRPr="00000000">
            <w:rPr>
              <w:rFonts w:ascii="Source Sans Pro" w:cs="Source Sans Pro" w:eastAsia="Source Sans Pro" w:hAnsi="Source Sans Pro"/>
              <w:color w:val="999999"/>
              <w:sz w:val="16"/>
              <w:szCs w:val="16"/>
              <w:highlight w:val="white"/>
              <w:rtl w:val="0"/>
            </w:rPr>
            <w:t xml:space="preserve">Copyright © 2022 Engageli, Inc. All rights reserved.</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ource Sans Pro" w:cs="Source Sans Pro" w:eastAsia="Source Sans Pro" w:hAnsi="Source Sans Pro"/>
              <w:sz w:val="20"/>
              <w:szCs w:val="20"/>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left="720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5834063</wp:posOffset>
          </wp:positionH>
          <wp:positionV relativeFrom="page">
            <wp:posOffset>180975</wp:posOffset>
          </wp:positionV>
          <wp:extent cx="1409700" cy="502366"/>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9700" cy="502366"/>
                  </a:xfrm>
                  <a:prstGeom prst="rect"/>
                  <a:ln/>
                </pic:spPr>
              </pic:pic>
            </a:graphicData>
          </a:graphic>
        </wp:anchor>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support.engageli.com/hc/en-u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engageli.com/hc/en-us/articles/10516159689755-Interactive-Guide-for-Learn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engageli.com/hc/en-us/articles/4411910147483-Learner-Quick-Start-Video-" TargetMode="External"/><Relationship Id="rId8" Type="http://schemas.openxmlformats.org/officeDocument/2006/relationships/hyperlink" Target="https://support.engageli.com/hc/en-us/articles/4411910162331-Join-Your-Cla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hY5x5Nwz5w9CxgZK8oJ+2PQSA==">CgMxLjA4AHIhMVBDcXRud2plVUthU0h0NWtoTzRjZEgyOFg4a0F0TFNm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